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</w:pPr>
      <w:r/>
      <w:r/>
    </w:p>
    <w:p>
      <w:pPr>
        <w:pStyle w:val="81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олесный экскаватор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-погрузчик MTK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CX</w:t>
      </w:r>
      <w:r/>
    </w:p>
    <w:p>
      <w:pPr>
        <w:jc w:val="center"/>
        <w:rPr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85665" cy="3340100"/>
                <wp:effectExtent l="0" t="0" r="0" b="0"/>
                <wp:docPr id="1" name="Рисунок 1" descr="C:\Users\Игорь\Downloads\WhatsApp Image 2022-05-25 at 18.52.05 (2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Игорь\Downloads\WhatsApp Image 2022-05-25 at 18.52.05 (2)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92317" cy="334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8.9pt;height:263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lang w:eastAsia="en-US"/>
        </w:rPr>
      </w:pPr>
      <w:r>
        <w:rPr>
          <w:lang w:eastAsia="en-US"/>
        </w:rPr>
      </w:r>
      <w:r/>
    </w:p>
    <w:p>
      <w:pPr>
        <w:jc w:val="center"/>
        <w:tabs>
          <w:tab w:val="left" w:pos="3225" w:leader="none"/>
        </w:tabs>
        <w:rPr>
          <w:rFonts w:eastAsia="Arial Unicode MS" w:cs="Calibri"/>
          <w:b/>
          <w:bCs/>
          <w:color w:val="000000"/>
          <w:sz w:val="36"/>
          <w:szCs w:val="36"/>
          <w:u w:val="single"/>
        </w:rPr>
      </w:pPr>
      <w:r>
        <w:rPr>
          <w:rFonts w:eastAsia="Arial Unicode MS" w:cs="Calibri"/>
          <w:b/>
          <w:bCs/>
          <w:color w:val="000000"/>
          <w:sz w:val="36"/>
          <w:szCs w:val="36"/>
          <w:u w:val="single"/>
        </w:rPr>
        <w:t xml:space="preserve">Цена с НДС </w:t>
      </w:r>
      <w:r>
        <w:rPr>
          <w:rFonts w:eastAsia="Arial Unicode MS" w:cs="Calibri"/>
          <w:b/>
          <w:bCs/>
          <w:color w:val="000000" w:themeColor="text1"/>
          <w:sz w:val="18"/>
          <w:szCs w:val="18"/>
          <w:u w:val="single"/>
        </w:rPr>
      </w:r>
      <w:r/>
    </w:p>
    <w:p>
      <w:pPr>
        <w:jc w:val="center"/>
        <w:tabs>
          <w:tab w:val="left" w:pos="3225" w:leader="none"/>
        </w:tabs>
        <w:rPr>
          <w:rFonts w:eastAsia="Arial Unicode MS" w:cs="Calibri"/>
          <w:b/>
          <w:bCs/>
          <w:color w:val="000000" w:themeColor="text1"/>
          <w:sz w:val="18"/>
          <w:szCs w:val="18"/>
          <w:u w:val="single"/>
        </w:rPr>
      </w:pPr>
      <w:r>
        <w:rPr>
          <w:rFonts w:eastAsia="Arial Unicode MS" w:cs="Calibri"/>
          <w:b/>
          <w:bCs/>
          <w:color w:val="000000"/>
          <w:sz w:val="36"/>
          <w:szCs w:val="36"/>
          <w:u w:val="single"/>
        </w:rPr>
        <w:t xml:space="preserve">7950 000</w:t>
      </w:r>
      <w:r>
        <w:rPr>
          <w:rFonts w:eastAsia="Arial Unicode MS" w:cs="Calibri"/>
          <w:b/>
          <w:bCs/>
          <w:color w:val="000000"/>
          <w:sz w:val="36"/>
          <w:szCs w:val="36"/>
          <w:u w:val="single"/>
        </w:rPr>
        <w:t xml:space="preserve"> руб.</w:t>
      </w:r>
      <w:r/>
    </w:p>
    <w:p>
      <w:pPr>
        <w:pStyle w:val="824"/>
      </w:pPr>
      <w:r>
        <w:rPr>
          <w:rFonts w:ascii="Times New Roman" w:hAnsi="Times New Roman"/>
          <w:b/>
          <w:i/>
        </w:rPr>
        <w:t xml:space="preserve">СПЕЦИФИКАЦИЯ:</w:t>
      </w:r>
      <w:r/>
    </w:p>
    <w:tbl>
      <w:tblPr>
        <w:tblW w:w="9190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334"/>
        <w:gridCol w:w="4856"/>
      </w:tblGrid>
      <w:tr>
        <w:trPr>
          <w:trHeight w:val="285"/>
        </w:trPr>
        <w:tc>
          <w:tcPr>
            <w:tcW w:w="4334" w:type="dxa"/>
            <w:textDirection w:val="lrTb"/>
            <w:noWrap w:val="false"/>
          </w:tcPr>
          <w:p>
            <w:pPr>
              <w:pStyle w:val="824"/>
              <w:ind w:left="-24"/>
              <w:rPr>
                <w:rFonts w:ascii="Times New Roman" w:hAnsi="Times New Roman" w:cs="Times New Roman"/>
                <w:lang w:val="en-US"/>
              </w:rPr>
            </w:pPr>
            <w:r>
              <w:t xml:space="preserve">Колесный экскаватор </w:t>
            </w:r>
            <w:r>
              <w:rPr>
                <w:lang w:val="en-US"/>
              </w:rPr>
              <w:t xml:space="preserve">MTK 3CX</w:t>
            </w:r>
            <w:r/>
          </w:p>
        </w:tc>
        <w:tc>
          <w:tcPr>
            <w:tcW w:w="4856" w:type="dxa"/>
            <w:textDirection w:val="lrTb"/>
            <w:noWrap w:val="false"/>
          </w:tcPr>
          <w:p>
            <w:pPr>
              <w:pStyle w:val="8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5 1</w:t>
            </w:r>
            <w:r>
              <w:rPr>
                <w:rFonts w:ascii="Times New Roman" w:hAnsi="Times New Roman" w:cs="Times New Roman"/>
              </w:rPr>
              <w:t xml:space="preserve">60 000 руб.</w:t>
            </w:r>
            <w:r/>
          </w:p>
        </w:tc>
      </w:tr>
      <w:tr>
        <w:trPr>
          <w:trHeight w:val="285"/>
        </w:trPr>
        <w:tc>
          <w:tcPr>
            <w:tcW w:w="4334" w:type="dxa"/>
            <w:textDirection w:val="lrTb"/>
            <w:noWrap w:val="false"/>
          </w:tcPr>
          <w:p>
            <w:pPr>
              <w:pStyle w:val="824"/>
              <w:ind w:left="-24"/>
            </w:pPr>
            <w:r>
              <w:t xml:space="preserve">Возмещение затрат на уплату утилизационного сбора</w:t>
            </w:r>
            <w:r>
              <w:t xml:space="preserve"> (</w:t>
            </w:r>
            <w:r>
              <w:t xml:space="preserve">без</w:t>
            </w:r>
            <w:r>
              <w:t xml:space="preserve"> НДС)</w:t>
            </w:r>
            <w:r/>
          </w:p>
        </w:tc>
        <w:tc>
          <w:tcPr>
            <w:tcW w:w="4856" w:type="dxa"/>
            <w:textDirection w:val="lrTb"/>
            <w:noWrap w:val="false"/>
          </w:tcPr>
          <w:p>
            <w:pPr>
              <w:pStyle w:val="8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690 000 руб.</w:t>
            </w:r>
            <w:r/>
          </w:p>
        </w:tc>
      </w:tr>
      <w:tr>
        <w:trPr>
          <w:trHeight w:val="285"/>
        </w:trPr>
        <w:tc>
          <w:tcPr>
            <w:tcW w:w="4334" w:type="dxa"/>
            <w:textDirection w:val="lrTb"/>
            <w:noWrap w:val="false"/>
          </w:tcPr>
          <w:p>
            <w:pPr>
              <w:pStyle w:val="824"/>
              <w:ind w:left="-24"/>
            </w:pPr>
            <w:r>
              <w:t xml:space="preserve">Доставка до</w:t>
            </w:r>
            <w:r>
              <w:t xml:space="preserve">: </w:t>
            </w:r>
            <w:r>
              <w:t xml:space="preserve">г. </w:t>
            </w:r>
            <w:r>
              <w:t xml:space="preserve">Краснодар</w:t>
            </w:r>
            <w:r/>
          </w:p>
        </w:tc>
        <w:tc>
          <w:tcPr>
            <w:tcW w:w="4856" w:type="dxa"/>
            <w:textDirection w:val="lrTb"/>
            <w:noWrap w:val="false"/>
          </w:tcPr>
          <w:p>
            <w:pPr>
              <w:pStyle w:val="8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300 000 руб.</w:t>
            </w:r>
            <w:r/>
          </w:p>
        </w:tc>
      </w:tr>
      <w:tr>
        <w:trPr>
          <w:trHeight w:val="204"/>
        </w:trPr>
        <w:tc>
          <w:tcPr>
            <w:tcBorders>
              <w:bottom w:val="single" w:color="auto" w:sz="4" w:space="0"/>
            </w:tcBorders>
            <w:tcW w:w="4334" w:type="dxa"/>
            <w:textDirection w:val="lrTb"/>
            <w:noWrap w:val="false"/>
          </w:tcPr>
          <w:p>
            <w:pPr>
              <w:pStyle w:val="824"/>
              <w:ind w:lef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4856" w:type="dxa"/>
            <w:textDirection w:val="lrTb"/>
            <w:noWrap w:val="false"/>
          </w:tcPr>
          <w:p>
            <w:pPr>
              <w:pStyle w:val="824"/>
              <w:ind w:left="-2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50 000 руб.</w:t>
            </w:r>
            <w:r/>
          </w:p>
        </w:tc>
      </w:tr>
    </w:tbl>
    <w:p>
      <w:pPr>
        <w:jc w:val="right"/>
        <w:spacing w:after="0" w:line="240" w:lineRule="auto"/>
      </w:pPr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*Гарантия </w:t>
      </w:r>
      <w:r>
        <w:rPr>
          <w:rFonts w:ascii="Times New Roman" w:hAnsi="Times New Roman" w:cs="Times New Roman"/>
          <w:sz w:val="28"/>
          <w:szCs w:val="28"/>
        </w:rPr>
        <w:t xml:space="preserve"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моточасов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/>
    </w:p>
    <w:p>
      <w:pPr>
        <w:jc w:val="right"/>
        <w:rPr>
          <w:lang w:val="en-US"/>
        </w:rPr>
      </w:pPr>
      <w:r>
        <w:rPr>
          <w:lang w:val="en-US"/>
        </w:rPr>
      </w:r>
      <w:r/>
    </w:p>
    <w:p>
      <w:pPr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  <w:r/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 w:clear="all"/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Технические характеристики</w:t>
      </w:r>
      <w:r/>
    </w:p>
    <w:tbl>
      <w:tblPr>
        <w:tblW w:w="9505" w:type="dxa"/>
        <w:tblBorders>
          <w:top w:val="single" w:color="DCDCDC" w:sz="6" w:space="0"/>
          <w:left w:val="single" w:color="DCDCDC" w:sz="6" w:space="0"/>
          <w:bottom w:val="single" w:color="DCDCDC" w:sz="6" w:space="0"/>
          <w:right w:val="single" w:color="DCDCD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035"/>
      </w:tblGrid>
      <w:tr>
        <w:trPr/>
        <w:tc>
          <w:tcPr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Наименование</w:t>
            </w:r>
            <w:r/>
          </w:p>
        </w:tc>
        <w:tc>
          <w:tcPr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MTK 3CX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Габариты (при продольном расположении копающего механизма)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Длина,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7500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Ширина,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2320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Высота,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3510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Габариты (при поперечном расположении копающего механизма)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Длина,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5851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Ширина,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2550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Высота,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3510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Основные параметры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Вес, кг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8300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Максимальная сила тяги, кН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58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Передача вперед: 1/2/3/4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5.6/9.5/20.1/36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Передача назад: 1/2/3/4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5.6/9.5/20.1/37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Минимальный радиус разворота (по внешней стороне переднего колеса),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4127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Параметры погрузки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Емкость ковша-лопаты, м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1,0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Максимальное усилие копания, кН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41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Максимальная высота разгрузки,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2675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Максимальное расстояние разгрузки,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730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Время полного цикла, сек.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8,4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Параметры копания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Емкость ковша-лопаты, м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0,18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Максимальное усилие копания, кН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58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Максимальная глубина копания,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4230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Максимальное расстояние копания,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5310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Максимальная высота выгрузки, мм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3400</w:t>
            </w:r>
            <w:r/>
          </w:p>
        </w:tc>
      </w:tr>
      <w:tr>
        <w:trPr/>
        <w:tc>
          <w:tcPr>
            <w:gridSpan w:val="2"/>
            <w:shd w:val="clear" w:color="auto" w:fill="f1f0f0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Двигатель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Модель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Wechai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1" w:tooltip="https://ru.wikipedia.org/wiki/Steyr-Daimler-Puch" w:history="1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t xml:space="preserve">Steyr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t xml:space="preserve">-Daimler-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t xml:space="preserve">Puch</w:t>
              </w:r>
            </w:hyperlink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Тип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4-хцилиндровый, с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турбонадувом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Мощность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75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kW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/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102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лс</w:t>
            </w:r>
            <w:r/>
          </w:p>
        </w:tc>
      </w:tr>
      <w:tr>
        <w:trPr/>
        <w:tc>
          <w:tcPr>
            <w:gridSpan w:val="2"/>
            <w:shd w:val="clear" w:color="auto" w:fill="f2f2f2" w:themeFill="background1" w:themeFillShade="F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Трансмиссия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Модель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CARRARO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: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CA149524S</w:t>
            </w:r>
            <w:r/>
          </w:p>
        </w:tc>
      </w:tr>
      <w:tr>
        <w:trPr/>
        <w:tc>
          <w:tcPr>
            <w:gridSpan w:val="2"/>
            <w:shd w:val="clear" w:color="auto" w:fill="f2f2f2" w:themeFill="background1" w:themeFillShade="F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Ведущий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мост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Тип переднего моста</w:t>
            </w:r>
            <w:r/>
          </w:p>
        </w:tc>
        <w:tc>
          <w:tcPr>
            <w:shd w:val="clear" w:color="auto" w:fill="ffffff" w:themeFill="background1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CARRARO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(2WD)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: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CA148394S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Тип заднего моста</w:t>
            </w:r>
            <w:r/>
          </w:p>
        </w:tc>
        <w:tc>
          <w:tcPr>
            <w:shd w:val="clear" w:color="auto" w:fill="ffffff" w:themeFill="background1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CARRARO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: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CA14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7103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/>
              </w:rPr>
              <w:t xml:space="preserve">S</w:t>
            </w:r>
            <w:r/>
          </w:p>
        </w:tc>
      </w:tr>
      <w:tr>
        <w:trPr/>
        <w:tc>
          <w:tcPr>
            <w:gridSpan w:val="2"/>
            <w:shd w:val="clear" w:color="auto" w:fill="f2f2f2" w:themeFill="background1" w:themeFillShade="F2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Остальное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Емкость топливного бака, л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180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Шины переднего моста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114-17.5-14PR/11L-16-12PR (2WD)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Шины заднего моста</w:t>
            </w:r>
            <w:r/>
          </w:p>
        </w:tc>
        <w:tc>
          <w:tcPr>
            <w:shd w:val="clear" w:color="auto" w:fill="ffffff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19.5L-24-12PR</w:t>
            </w:r>
            <w:r/>
          </w:p>
        </w:tc>
      </w:tr>
    </w:tbl>
    <w:p>
      <w:pPr>
        <w:jc w:val="center"/>
        <w:rPr>
          <w:sz w:val="36"/>
          <w:szCs w:val="36"/>
        </w:rPr>
      </w:pPr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780" w:right="850" w:bottom="1134" w:left="1701" w:header="14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819"/>
    <w:link w:val="818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basedOn w:val="817"/>
    <w:next w:val="817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basedOn w:val="819"/>
    <w:link w:val="645"/>
    <w:uiPriority w:val="9"/>
    <w:rPr>
      <w:rFonts w:ascii="Arial" w:hAnsi="Arial" w:eastAsia="Arial" w:cs="Arial"/>
      <w:sz w:val="34"/>
    </w:rPr>
  </w:style>
  <w:style w:type="paragraph" w:styleId="647">
    <w:name w:val="Heading 3"/>
    <w:basedOn w:val="817"/>
    <w:next w:val="817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basedOn w:val="819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basedOn w:val="817"/>
    <w:next w:val="817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basedOn w:val="819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basedOn w:val="817"/>
    <w:next w:val="817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basedOn w:val="819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817"/>
    <w:next w:val="817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basedOn w:val="819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817"/>
    <w:next w:val="817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basedOn w:val="819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basedOn w:val="817"/>
    <w:next w:val="817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basedOn w:val="81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817"/>
    <w:next w:val="817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basedOn w:val="819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basedOn w:val="817"/>
    <w:uiPriority w:val="34"/>
    <w:qFormat/>
    <w:pPr>
      <w:contextualSpacing/>
      <w:ind w:left="720"/>
    </w:pPr>
  </w:style>
  <w:style w:type="paragraph" w:styleId="662">
    <w:name w:val="Title"/>
    <w:basedOn w:val="817"/>
    <w:next w:val="817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19"/>
    <w:link w:val="662"/>
    <w:uiPriority w:val="10"/>
    <w:rPr>
      <w:sz w:val="48"/>
      <w:szCs w:val="48"/>
    </w:rPr>
  </w:style>
  <w:style w:type="paragraph" w:styleId="664">
    <w:name w:val="Subtitle"/>
    <w:basedOn w:val="817"/>
    <w:next w:val="817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9"/>
    <w:link w:val="664"/>
    <w:uiPriority w:val="11"/>
    <w:rPr>
      <w:sz w:val="24"/>
      <w:szCs w:val="24"/>
    </w:rPr>
  </w:style>
  <w:style w:type="paragraph" w:styleId="666">
    <w:name w:val="Quote"/>
    <w:basedOn w:val="817"/>
    <w:next w:val="817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7"/>
    <w:next w:val="817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19"/>
    <w:link w:val="825"/>
    <w:uiPriority w:val="99"/>
  </w:style>
  <w:style w:type="character" w:styleId="671">
    <w:name w:val="Footer Char"/>
    <w:basedOn w:val="819"/>
    <w:link w:val="827"/>
    <w:uiPriority w:val="99"/>
  </w:style>
  <w:style w:type="paragraph" w:styleId="672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827"/>
    <w:uiPriority w:val="99"/>
  </w:style>
  <w:style w:type="table" w:styleId="674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9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9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paragraph" w:styleId="818">
    <w:name w:val="Heading 1"/>
    <w:basedOn w:val="817"/>
    <w:next w:val="817"/>
    <w:link w:val="822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 w:customStyle="1">
    <w:name w:val="Заголовок 1 Знак"/>
    <w:basedOn w:val="819"/>
    <w:link w:val="81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823">
    <w:name w:val="Hyperlink"/>
    <w:basedOn w:val="819"/>
    <w:uiPriority w:val="99"/>
    <w:unhideWhenUsed/>
    <w:rPr>
      <w:color w:val="0000ff" w:themeColor="hyperlink"/>
      <w:u w:val="single"/>
    </w:rPr>
  </w:style>
  <w:style w:type="paragraph" w:styleId="824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styleId="825">
    <w:name w:val="Header"/>
    <w:basedOn w:val="817"/>
    <w:link w:val="8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6" w:customStyle="1">
    <w:name w:val="Верхний колонтитул Знак"/>
    <w:basedOn w:val="819"/>
    <w:link w:val="825"/>
    <w:uiPriority w:val="99"/>
  </w:style>
  <w:style w:type="paragraph" w:styleId="827">
    <w:name w:val="Footer"/>
    <w:basedOn w:val="817"/>
    <w:link w:val="8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8" w:customStyle="1">
    <w:name w:val="Нижний колонтитул Знак"/>
    <w:basedOn w:val="819"/>
    <w:link w:val="827"/>
    <w:uiPriority w:val="99"/>
  </w:style>
  <w:style w:type="character" w:styleId="829">
    <w:name w:val="Strong"/>
    <w:basedOn w:val="819"/>
    <w:uiPriority w:val="22"/>
    <w:qFormat/>
    <w:rPr>
      <w:b/>
      <w:bCs/>
    </w:rPr>
  </w:style>
  <w:style w:type="paragraph" w:styleId="830">
    <w:name w:val="Normal (Web)"/>
    <w:basedOn w:val="8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31">
    <w:name w:val="Balloon Text"/>
    <w:basedOn w:val="817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819"/>
    <w:link w:val="831"/>
    <w:uiPriority w:val="99"/>
    <w:semiHidden/>
    <w:rPr>
      <w:rFonts w:ascii="Tahoma" w:hAnsi="Tahoma" w:cs="Tahoma"/>
      <w:sz w:val="16"/>
      <w:szCs w:val="16"/>
    </w:rPr>
  </w:style>
  <w:style w:type="character" w:styleId="833" w:customStyle="1">
    <w:name w:val="NormalCharacter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ru.wikipedia.org/wiki/Steyr-Daimler-Puc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9F9-72E8-46DD-99FC-53161DD7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Евгения Веронская</cp:lastModifiedBy>
  <cp:revision>4</cp:revision>
  <dcterms:created xsi:type="dcterms:W3CDTF">2022-05-25T16:59:00Z</dcterms:created>
  <dcterms:modified xsi:type="dcterms:W3CDTF">2023-03-22T09:26:00Z</dcterms:modified>
</cp:coreProperties>
</file>